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A80" w:rsidRPr="00A57200" w:rsidRDefault="00080A80" w:rsidP="00080A80">
      <w:pPr>
        <w:rPr>
          <w:rFonts w:ascii="Times New Roman" w:hAnsi="Times New Roman" w:cs="Times New Roman"/>
          <w:b/>
          <w:sz w:val="28"/>
          <w:lang w:eastAsia="ja-JP"/>
        </w:rPr>
      </w:pPr>
      <w:r w:rsidRPr="00A57200">
        <w:rPr>
          <w:rFonts w:ascii="Times New Roman" w:hAnsi="Times New Roman" w:cs="Times New Roman"/>
          <w:b/>
          <w:sz w:val="28"/>
        </w:rPr>
        <w:t xml:space="preserve">DEADLINE: </w:t>
      </w:r>
      <w:r w:rsidR="004D740E">
        <w:rPr>
          <w:rFonts w:ascii="Times New Roman" w:hAnsi="Times New Roman" w:cs="Times New Roman"/>
          <w:sz w:val="28"/>
        </w:rPr>
        <w:t>March 1</w:t>
      </w:r>
      <w:r w:rsidR="00490A92">
        <w:rPr>
          <w:rFonts w:ascii="Times New Roman" w:hAnsi="Times New Roman" w:cs="Times New Roman"/>
          <w:sz w:val="28"/>
        </w:rPr>
        <w:t>5, 201</w:t>
      </w:r>
      <w:r w:rsidR="004D740E">
        <w:rPr>
          <w:rFonts w:ascii="Times New Roman" w:hAnsi="Times New Roman" w:cs="Times New Roman" w:hint="eastAsia"/>
          <w:sz w:val="28"/>
          <w:lang w:eastAsia="ja-JP"/>
        </w:rPr>
        <w:t>9</w:t>
      </w:r>
    </w:p>
    <w:p w:rsidR="00C64541" w:rsidRPr="00A57200" w:rsidRDefault="009E1004" w:rsidP="004D740E">
      <w:pPr>
        <w:jc w:val="center"/>
        <w:rPr>
          <w:rFonts w:ascii="Times New Roman" w:hAnsi="Times New Roman" w:cs="Times New Roman"/>
          <w:b/>
          <w:sz w:val="28"/>
        </w:rPr>
      </w:pPr>
      <w:r w:rsidRPr="00A57200">
        <w:rPr>
          <w:rFonts w:ascii="Times New Roman" w:hAnsi="Times New Roman" w:cs="Times New Roman"/>
          <w:b/>
          <w:sz w:val="28"/>
        </w:rPr>
        <w:t xml:space="preserve">The University of Tsukuba (Japan) invites applications for its </w:t>
      </w:r>
      <w:r w:rsidR="004D740E">
        <w:rPr>
          <w:rFonts w:ascii="Times New Roman" w:hAnsi="Times New Roman" w:cs="Times New Roman"/>
          <w:b/>
          <w:sz w:val="28"/>
        </w:rPr>
        <w:t>Master of Arts Graduate Program</w:t>
      </w:r>
      <w:r w:rsidRPr="00A57200">
        <w:rPr>
          <w:rFonts w:ascii="Times New Roman" w:hAnsi="Times New Roman" w:cs="Times New Roman"/>
          <w:b/>
          <w:sz w:val="28"/>
        </w:rPr>
        <w:t xml:space="preserve"> in Japanese and E</w:t>
      </w:r>
      <w:r w:rsidR="009F58C6">
        <w:rPr>
          <w:rFonts w:ascii="Times New Roman" w:hAnsi="Times New Roman" w:cs="Times New Roman"/>
          <w:b/>
          <w:sz w:val="28"/>
        </w:rPr>
        <w:t xml:space="preserve">urasian Studies </w:t>
      </w:r>
      <w:bookmarkStart w:id="0" w:name="_GoBack"/>
      <w:bookmarkEnd w:id="0"/>
      <w:r w:rsidR="009F58C6">
        <w:rPr>
          <w:rFonts w:ascii="Times New Roman" w:hAnsi="Times New Roman" w:cs="Times New Roman"/>
          <w:b/>
          <w:sz w:val="28"/>
        </w:rPr>
        <w:t>for October 201</w:t>
      </w:r>
      <w:r w:rsidR="004D740E">
        <w:rPr>
          <w:rFonts w:ascii="Times New Roman" w:hAnsi="Times New Roman" w:cs="Times New Roman" w:hint="eastAsia"/>
          <w:b/>
          <w:sz w:val="28"/>
          <w:lang w:eastAsia="ja-JP"/>
        </w:rPr>
        <w:t>9</w:t>
      </w:r>
      <w:r w:rsidRPr="00A57200">
        <w:rPr>
          <w:rFonts w:ascii="Times New Roman" w:hAnsi="Times New Roman" w:cs="Times New Roman"/>
          <w:b/>
          <w:sz w:val="28"/>
        </w:rPr>
        <w:t xml:space="preserve"> intake.</w:t>
      </w:r>
    </w:p>
    <w:p w:rsidR="00080A80" w:rsidRPr="00155A86" w:rsidRDefault="009E1004" w:rsidP="00080A80">
      <w:pPr>
        <w:shd w:val="clear" w:color="auto" w:fill="FFFFFF"/>
        <w:spacing w:after="0" w:line="30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Cs w:val="24"/>
          <w:bdr w:val="none" w:sz="0" w:space="0" w:color="auto" w:frame="1"/>
        </w:rPr>
      </w:pPr>
      <w:r w:rsidRPr="00155A86">
        <w:rPr>
          <w:rFonts w:ascii="Times New Roman" w:eastAsia="Times New Roman" w:hAnsi="Times New Roman" w:cs="Times New Roman"/>
          <w:b/>
          <w:bCs/>
          <w:szCs w:val="24"/>
          <w:bdr w:val="none" w:sz="0" w:space="0" w:color="auto" w:frame="1"/>
        </w:rPr>
        <w:t>Eligibility</w:t>
      </w:r>
      <w:r w:rsidR="00EE571A" w:rsidRPr="00155A86">
        <w:rPr>
          <w:rStyle w:val="a7"/>
          <w:rFonts w:ascii="Times New Roman" w:eastAsia="Times New Roman" w:hAnsi="Times New Roman" w:cs="Times New Roman"/>
          <w:b/>
          <w:bCs/>
          <w:szCs w:val="24"/>
          <w:bdr w:val="none" w:sz="0" w:space="0" w:color="auto" w:frame="1"/>
        </w:rPr>
        <w:footnoteReference w:id="2"/>
      </w:r>
      <w:r w:rsidR="00080A80" w:rsidRPr="00155A86">
        <w:rPr>
          <w:rFonts w:ascii="Times New Roman" w:eastAsia="Times New Roman" w:hAnsi="Times New Roman" w:cs="Times New Roman"/>
          <w:b/>
          <w:bCs/>
          <w:szCs w:val="24"/>
          <w:bdr w:val="none" w:sz="0" w:space="0" w:color="auto" w:frame="1"/>
        </w:rPr>
        <w:t xml:space="preserve">: </w:t>
      </w:r>
    </w:p>
    <w:p w:rsidR="003774E6" w:rsidRPr="00155A86" w:rsidRDefault="003774E6" w:rsidP="00080A80">
      <w:pPr>
        <w:shd w:val="clear" w:color="auto" w:fill="FFFFFF"/>
        <w:spacing w:after="0" w:line="300" w:lineRule="atLeast"/>
        <w:jc w:val="both"/>
        <w:outlineLvl w:val="2"/>
        <w:rPr>
          <w:rFonts w:ascii="Times New Roman" w:eastAsia="Times New Roman" w:hAnsi="Times New Roman" w:cs="Times New Roman"/>
          <w:bCs/>
          <w:szCs w:val="24"/>
          <w:bdr w:val="none" w:sz="0" w:space="0" w:color="auto" w:frame="1"/>
        </w:rPr>
      </w:pPr>
    </w:p>
    <w:p w:rsidR="009E1004" w:rsidRPr="00155A86" w:rsidRDefault="009E1004" w:rsidP="00080A80">
      <w:pPr>
        <w:pStyle w:val="a4"/>
        <w:numPr>
          <w:ilvl w:val="0"/>
          <w:numId w:val="8"/>
        </w:numPr>
        <w:shd w:val="clear" w:color="auto" w:fill="FFFFFF"/>
        <w:spacing w:after="0" w:line="30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Cs w:val="24"/>
          <w:bdr w:val="none" w:sz="0" w:space="0" w:color="auto" w:frame="1"/>
        </w:rPr>
      </w:pPr>
      <w:r w:rsidRPr="00155A86">
        <w:rPr>
          <w:rFonts w:ascii="Times New Roman" w:eastAsia="Times New Roman" w:hAnsi="Times New Roman" w:cs="Times New Roman"/>
          <w:i/>
          <w:iCs/>
          <w:szCs w:val="24"/>
          <w:bdr w:val="none" w:sz="0" w:space="0" w:color="auto" w:frame="1"/>
        </w:rPr>
        <w:t>Nationality</w:t>
      </w:r>
      <w:r w:rsidR="00080A80" w:rsidRPr="00155A86">
        <w:rPr>
          <w:rFonts w:ascii="Times New Roman" w:eastAsia="Times New Roman" w:hAnsi="Times New Roman" w:cs="Times New Roman"/>
          <w:szCs w:val="24"/>
        </w:rPr>
        <w:t xml:space="preserve">. </w:t>
      </w:r>
      <w:r w:rsidRPr="00155A86">
        <w:rPr>
          <w:rFonts w:ascii="Times New Roman" w:eastAsia="Times New Roman" w:hAnsi="Times New Roman" w:cs="Times New Roman"/>
          <w:szCs w:val="24"/>
        </w:rPr>
        <w:t xml:space="preserve">Kazakhstan, Uzbekistan, Kyrgyzstan, Turkmenistan, Tajikistan, </w:t>
      </w:r>
      <w:r w:rsidR="004D740E" w:rsidRPr="00155A86">
        <w:rPr>
          <w:rFonts w:ascii="Times New Roman" w:eastAsia="Times New Roman" w:hAnsi="Times New Roman" w:cs="Times New Roman"/>
          <w:szCs w:val="24"/>
        </w:rPr>
        <w:t>Azerbaijan</w:t>
      </w:r>
    </w:p>
    <w:p w:rsidR="009E1004" w:rsidRPr="00155A86" w:rsidRDefault="009E1004" w:rsidP="00080A80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155A86">
        <w:rPr>
          <w:rFonts w:ascii="Times New Roman" w:eastAsia="Times New Roman" w:hAnsi="Times New Roman" w:cs="Times New Roman"/>
          <w:i/>
          <w:iCs/>
          <w:szCs w:val="24"/>
          <w:bdr w:val="none" w:sz="0" w:space="0" w:color="auto" w:frame="1"/>
        </w:rPr>
        <w:t>Age</w:t>
      </w:r>
      <w:r w:rsidRPr="00155A86">
        <w:rPr>
          <w:rFonts w:ascii="Times New Roman" w:eastAsia="Times New Roman" w:hAnsi="Times New Roman" w:cs="Times New Roman"/>
          <w:szCs w:val="24"/>
        </w:rPr>
        <w:t>. Applicants who have bee</w:t>
      </w:r>
      <w:r w:rsidR="004D740E" w:rsidRPr="00155A86">
        <w:rPr>
          <w:rFonts w:ascii="Times New Roman" w:eastAsia="Times New Roman" w:hAnsi="Times New Roman" w:cs="Times New Roman"/>
          <w:szCs w:val="24"/>
        </w:rPr>
        <w:t>n born on or after April 2, 1984</w:t>
      </w:r>
      <w:r w:rsidRPr="00155A86">
        <w:rPr>
          <w:rFonts w:ascii="Times New Roman" w:eastAsia="Times New Roman" w:hAnsi="Times New Roman" w:cs="Times New Roman"/>
          <w:szCs w:val="24"/>
        </w:rPr>
        <w:t>.</w:t>
      </w:r>
    </w:p>
    <w:p w:rsidR="009E1004" w:rsidRPr="00155A86" w:rsidRDefault="009E1004" w:rsidP="00080A80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155A86">
        <w:rPr>
          <w:rFonts w:ascii="Times New Roman" w:eastAsia="Times New Roman" w:hAnsi="Times New Roman" w:cs="Times New Roman"/>
          <w:i/>
          <w:iCs/>
          <w:szCs w:val="24"/>
          <w:bdr w:val="none" w:sz="0" w:space="0" w:color="auto" w:frame="1"/>
        </w:rPr>
        <w:t>Educational background</w:t>
      </w:r>
      <w:r w:rsidRPr="00155A86">
        <w:rPr>
          <w:rFonts w:ascii="Times New Roman" w:eastAsia="Times New Roman" w:hAnsi="Times New Roman" w:cs="Times New Roman"/>
          <w:szCs w:val="24"/>
        </w:rPr>
        <w:t>. Applicants who have an undergraduate degree and who have completed 16 years of school education.</w:t>
      </w:r>
    </w:p>
    <w:p w:rsidR="009E1004" w:rsidRPr="00155A86" w:rsidRDefault="009E1004" w:rsidP="00080A80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155A86">
        <w:rPr>
          <w:rFonts w:ascii="Times New Roman" w:eastAsia="Times New Roman" w:hAnsi="Times New Roman" w:cs="Times New Roman"/>
          <w:i/>
          <w:iCs/>
          <w:szCs w:val="24"/>
          <w:bdr w:val="none" w:sz="0" w:space="0" w:color="auto" w:frame="1"/>
        </w:rPr>
        <w:t>Language Qualifications</w:t>
      </w:r>
      <w:r w:rsidRPr="00155A86">
        <w:rPr>
          <w:rFonts w:ascii="Times New Roman" w:eastAsia="Times New Roman" w:hAnsi="Times New Roman" w:cs="Times New Roman"/>
          <w:szCs w:val="24"/>
        </w:rPr>
        <w:t>. Applicants must demonstrate their English language proficiency by submitting scores received on English Language Proficiency Tests</w:t>
      </w:r>
      <w:r w:rsidR="002E0E36" w:rsidRPr="00155A86">
        <w:rPr>
          <w:rFonts w:ascii="Times New Roman" w:eastAsia="Times New Roman" w:hAnsi="Times New Roman" w:cs="Times New Roman"/>
          <w:szCs w:val="24"/>
        </w:rPr>
        <w:t xml:space="preserve"> (</w:t>
      </w:r>
      <w:r w:rsidRPr="00155A86">
        <w:rPr>
          <w:rFonts w:ascii="Times New Roman" w:eastAsia="Times New Roman" w:hAnsi="Times New Roman" w:cs="Times New Roman"/>
          <w:szCs w:val="24"/>
        </w:rPr>
        <w:t>TOEFL IBT 80, TOEFL CBT</w:t>
      </w:r>
      <w:r w:rsidR="00111C79" w:rsidRPr="00155A86">
        <w:rPr>
          <w:rFonts w:ascii="Times New Roman" w:eastAsia="Times New Roman" w:hAnsi="Times New Roman" w:cs="Times New Roman"/>
          <w:szCs w:val="24"/>
        </w:rPr>
        <w:t xml:space="preserve"> 230, TOEFL PBT 500, IELTS 6.0). Knowledge of Japanese language is an asset. </w:t>
      </w:r>
    </w:p>
    <w:p w:rsidR="009E1004" w:rsidRPr="00155A86" w:rsidRDefault="00111C79" w:rsidP="00080A80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155A86">
        <w:rPr>
          <w:rFonts w:ascii="Times New Roman" w:eastAsia="Times New Roman" w:hAnsi="Times New Roman" w:cs="Times New Roman"/>
          <w:i/>
          <w:iCs/>
          <w:szCs w:val="24"/>
          <w:bdr w:val="none" w:sz="0" w:space="0" w:color="auto" w:frame="1"/>
        </w:rPr>
        <w:t xml:space="preserve">Program start dates: </w:t>
      </w:r>
      <w:r w:rsidR="00490A92" w:rsidRPr="00155A86">
        <w:rPr>
          <w:rFonts w:ascii="Times New Roman" w:eastAsia="Times New Roman" w:hAnsi="Times New Roman" w:cs="Times New Roman"/>
          <w:iCs/>
          <w:szCs w:val="24"/>
          <w:bdr w:val="none" w:sz="0" w:space="0" w:color="auto" w:frame="1"/>
        </w:rPr>
        <w:t>October 1, 201</w:t>
      </w:r>
      <w:r w:rsidR="004D740E" w:rsidRPr="00155A86">
        <w:rPr>
          <w:rFonts w:ascii="Times New Roman" w:eastAsia="Times New Roman" w:hAnsi="Times New Roman" w:cs="Times New Roman"/>
          <w:iCs/>
          <w:szCs w:val="24"/>
          <w:bdr w:val="none" w:sz="0" w:space="0" w:color="auto" w:frame="1"/>
        </w:rPr>
        <w:t>9</w:t>
      </w:r>
    </w:p>
    <w:p w:rsidR="00EE571A" w:rsidRPr="00155A86" w:rsidRDefault="00EE571A" w:rsidP="00EE57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</w:p>
    <w:p w:rsidR="009E1004" w:rsidRPr="00155A86" w:rsidRDefault="00111C79" w:rsidP="00111C79">
      <w:pPr>
        <w:shd w:val="clear" w:color="auto" w:fill="FFFFFF"/>
        <w:spacing w:after="0" w:line="30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Cs w:val="24"/>
          <w:bdr w:val="none" w:sz="0" w:space="0" w:color="auto" w:frame="1"/>
        </w:rPr>
      </w:pPr>
      <w:r w:rsidRPr="00155A86">
        <w:rPr>
          <w:rFonts w:ascii="Times New Roman" w:eastAsia="Times New Roman" w:hAnsi="Times New Roman" w:cs="Times New Roman"/>
          <w:b/>
          <w:bCs/>
          <w:szCs w:val="24"/>
          <w:bdr w:val="none" w:sz="0" w:space="0" w:color="auto" w:frame="1"/>
        </w:rPr>
        <w:t>Fully-funded scholarships are available</w:t>
      </w:r>
      <w:r w:rsidR="004D740E" w:rsidRPr="00155A86">
        <w:rPr>
          <w:rFonts w:ascii="Times New Roman" w:eastAsia="Times New Roman" w:hAnsi="Times New Roman" w:cs="Times New Roman"/>
          <w:b/>
          <w:bCs/>
          <w:szCs w:val="24"/>
          <w:bdr w:val="none" w:sz="0" w:space="0" w:color="auto" w:frame="1"/>
        </w:rPr>
        <w:t xml:space="preserve"> (The Nippon Foundation Central Asia Fellowship)</w:t>
      </w:r>
    </w:p>
    <w:p w:rsidR="00111C79" w:rsidRPr="00155A86" w:rsidRDefault="00111C79" w:rsidP="00111C79">
      <w:pPr>
        <w:shd w:val="clear" w:color="auto" w:fill="FFFFFF"/>
        <w:spacing w:after="0" w:line="300" w:lineRule="atLeast"/>
        <w:jc w:val="both"/>
        <w:outlineLvl w:val="2"/>
        <w:rPr>
          <w:rFonts w:ascii="Times New Roman" w:eastAsia="Times New Roman" w:hAnsi="Times New Roman" w:cs="Times New Roman"/>
          <w:szCs w:val="24"/>
        </w:rPr>
      </w:pPr>
    </w:p>
    <w:p w:rsidR="003E556C" w:rsidRPr="00155A86" w:rsidRDefault="003E556C" w:rsidP="009E10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Cs w:val="24"/>
          <w:bdr w:val="none" w:sz="0" w:space="0" w:color="auto" w:frame="1"/>
        </w:rPr>
      </w:pPr>
      <w:r w:rsidRPr="00155A86">
        <w:rPr>
          <w:rFonts w:ascii="Times New Roman" w:eastAsia="Times New Roman" w:hAnsi="Times New Roman" w:cs="Times New Roman"/>
          <w:b/>
          <w:bCs/>
          <w:szCs w:val="24"/>
          <w:bdr w:val="none" w:sz="0" w:space="0" w:color="auto" w:frame="1"/>
        </w:rPr>
        <w:t>Language of Instruction:</w:t>
      </w:r>
      <w:r w:rsidRPr="00155A86">
        <w:rPr>
          <w:rFonts w:ascii="Times New Roman" w:eastAsia="Times New Roman" w:hAnsi="Times New Roman" w:cs="Times New Roman"/>
          <w:bCs/>
          <w:szCs w:val="24"/>
          <w:bdr w:val="none" w:sz="0" w:space="0" w:color="auto" w:frame="1"/>
        </w:rPr>
        <w:t xml:space="preserve"> English</w:t>
      </w:r>
    </w:p>
    <w:p w:rsidR="00111C79" w:rsidRPr="00155A86" w:rsidRDefault="00111C79" w:rsidP="009E10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Cs w:val="24"/>
          <w:bdr w:val="none" w:sz="0" w:space="0" w:color="auto" w:frame="1"/>
        </w:rPr>
      </w:pPr>
    </w:p>
    <w:p w:rsidR="003E556C" w:rsidRPr="00155A86" w:rsidRDefault="003E556C" w:rsidP="009E10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Cs w:val="24"/>
          <w:bdr w:val="none" w:sz="0" w:space="0" w:color="auto" w:frame="1"/>
        </w:rPr>
      </w:pPr>
      <w:r w:rsidRPr="00155A86">
        <w:rPr>
          <w:rFonts w:ascii="Times New Roman" w:eastAsia="Times New Roman" w:hAnsi="Times New Roman" w:cs="Times New Roman"/>
          <w:b/>
          <w:bCs/>
          <w:szCs w:val="24"/>
          <w:bdr w:val="none" w:sz="0" w:space="0" w:color="auto" w:frame="1"/>
        </w:rPr>
        <w:t>Duration of the program:</w:t>
      </w:r>
      <w:r w:rsidR="004D740E" w:rsidRPr="00155A86">
        <w:rPr>
          <w:rFonts w:ascii="Times New Roman" w:eastAsia="Times New Roman" w:hAnsi="Times New Roman" w:cs="Times New Roman"/>
          <w:bCs/>
          <w:szCs w:val="24"/>
          <w:bdr w:val="none" w:sz="0" w:space="0" w:color="auto" w:frame="1"/>
        </w:rPr>
        <w:t>1.5 year</w:t>
      </w:r>
    </w:p>
    <w:p w:rsidR="00111C79" w:rsidRPr="00155A86" w:rsidRDefault="00111C79" w:rsidP="009E10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</w:p>
    <w:p w:rsidR="002E0E36" w:rsidRPr="00155A86" w:rsidRDefault="00522635" w:rsidP="002E0E36">
      <w:pPr>
        <w:shd w:val="clear" w:color="auto" w:fill="FFFFFF"/>
        <w:spacing w:after="0" w:line="240" w:lineRule="auto"/>
        <w:jc w:val="both"/>
        <w:rPr>
          <w:rStyle w:val="a3"/>
          <w:rFonts w:ascii="Times New Roman" w:eastAsia="Times New Roman" w:hAnsi="Times New Roman" w:cs="Times New Roman"/>
          <w:color w:val="auto"/>
          <w:szCs w:val="24"/>
        </w:rPr>
      </w:pPr>
      <w:r w:rsidRPr="00155A86">
        <w:rPr>
          <w:rFonts w:ascii="Times New Roman" w:eastAsia="Times New Roman" w:hAnsi="Times New Roman" w:cs="Times New Roman"/>
          <w:b/>
          <w:szCs w:val="24"/>
        </w:rPr>
        <w:t>First stage</w:t>
      </w:r>
      <w:r w:rsidR="002E0E36" w:rsidRPr="00155A86">
        <w:rPr>
          <w:rFonts w:ascii="Times New Roman" w:eastAsia="Times New Roman" w:hAnsi="Times New Roman" w:cs="Times New Roman"/>
          <w:b/>
          <w:szCs w:val="24"/>
        </w:rPr>
        <w:t>of the application process</w:t>
      </w:r>
      <w:r w:rsidRPr="00155A86">
        <w:rPr>
          <w:rFonts w:ascii="Times New Roman" w:eastAsia="Times New Roman" w:hAnsi="Times New Roman" w:cs="Times New Roman"/>
          <w:szCs w:val="24"/>
        </w:rPr>
        <w:t>: the submission of the Preliminary Application Form. The application form should be sent to</w:t>
      </w:r>
      <w:r w:rsidR="00081B93" w:rsidRPr="00155A86">
        <w:rPr>
          <w:rFonts w:ascii="Times New Roman" w:eastAsia="Times New Roman" w:hAnsi="Times New Roman" w:cs="Times New Roman"/>
          <w:szCs w:val="24"/>
        </w:rPr>
        <w:t>:</w:t>
      </w:r>
      <w:hyperlink r:id="rId8" w:history="1">
        <w:r w:rsidR="002E0E36" w:rsidRPr="00155A86">
          <w:rPr>
            <w:rStyle w:val="a3"/>
            <w:rFonts w:ascii="Times New Roman" w:eastAsia="Times New Roman" w:hAnsi="Times New Roman" w:cs="Times New Roman"/>
            <w:color w:val="auto"/>
            <w:szCs w:val="24"/>
          </w:rPr>
          <w:t>spca-info@ml.cc.tsukuba.ac.jp</w:t>
        </w:r>
      </w:hyperlink>
    </w:p>
    <w:p w:rsidR="00111C79" w:rsidRPr="00155A86" w:rsidRDefault="00111C79" w:rsidP="002E0E36">
      <w:pPr>
        <w:shd w:val="clear" w:color="auto" w:fill="FFFFFF"/>
        <w:spacing w:after="0" w:line="240" w:lineRule="auto"/>
        <w:jc w:val="both"/>
        <w:rPr>
          <w:rStyle w:val="a3"/>
          <w:rFonts w:ascii="Times New Roman" w:eastAsia="Times New Roman" w:hAnsi="Times New Roman" w:cs="Times New Roman"/>
          <w:color w:val="auto"/>
          <w:szCs w:val="24"/>
        </w:rPr>
      </w:pPr>
    </w:p>
    <w:p w:rsidR="00111C79" w:rsidRPr="00155A86" w:rsidRDefault="00111C79" w:rsidP="002E0E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</w:p>
    <w:p w:rsidR="00522635" w:rsidRPr="00155A86" w:rsidRDefault="00522635" w:rsidP="002E0E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155A86">
        <w:rPr>
          <w:rFonts w:ascii="Times New Roman" w:eastAsia="Times New Roman" w:hAnsi="Times New Roman" w:cs="Times New Roman"/>
          <w:b/>
          <w:szCs w:val="24"/>
        </w:rPr>
        <w:t>Second stage</w:t>
      </w:r>
      <w:r w:rsidR="002E0E36" w:rsidRPr="00155A86">
        <w:rPr>
          <w:rFonts w:ascii="Times New Roman" w:eastAsia="Times New Roman" w:hAnsi="Times New Roman" w:cs="Times New Roman"/>
          <w:b/>
          <w:szCs w:val="24"/>
        </w:rPr>
        <w:t xml:space="preserve"> of the application process</w:t>
      </w:r>
      <w:r w:rsidRPr="00155A86">
        <w:rPr>
          <w:rFonts w:ascii="Times New Roman" w:eastAsia="Times New Roman" w:hAnsi="Times New Roman" w:cs="Times New Roman"/>
          <w:b/>
          <w:szCs w:val="24"/>
        </w:rPr>
        <w:t>:</w:t>
      </w:r>
      <w:r w:rsidRPr="00155A86">
        <w:rPr>
          <w:rFonts w:ascii="Times New Roman" w:eastAsia="Times New Roman" w:hAnsi="Times New Roman" w:cs="Times New Roman"/>
          <w:szCs w:val="24"/>
        </w:rPr>
        <w:t xml:space="preserve"> An interview and exam conducted in the applicant’s home country</w:t>
      </w:r>
      <w:r w:rsidR="00080A80" w:rsidRPr="00155A86">
        <w:rPr>
          <w:rFonts w:ascii="Times New Roman" w:eastAsia="Times New Roman" w:hAnsi="Times New Roman" w:cs="Times New Roman"/>
          <w:szCs w:val="24"/>
        </w:rPr>
        <w:t xml:space="preserve">. </w:t>
      </w:r>
      <w:r w:rsidR="00174558" w:rsidRPr="00155A86">
        <w:rPr>
          <w:rFonts w:ascii="Times New Roman" w:eastAsia="Times New Roman" w:hAnsi="Times New Roman" w:cs="Times New Roman"/>
          <w:szCs w:val="24"/>
        </w:rPr>
        <w:t xml:space="preserve">Applicants </w:t>
      </w:r>
      <w:r w:rsidR="003774E6" w:rsidRPr="00155A86">
        <w:rPr>
          <w:rFonts w:ascii="Times New Roman" w:eastAsia="Times New Roman" w:hAnsi="Times New Roman" w:cs="Times New Roman"/>
          <w:szCs w:val="24"/>
        </w:rPr>
        <w:t xml:space="preserve">will be requested to present supporting documents (only applicable to candidates who pass the first stage of the application process) </w:t>
      </w:r>
      <w:r w:rsidRPr="00155A86">
        <w:rPr>
          <w:rFonts w:ascii="Times New Roman" w:eastAsia="Times New Roman" w:hAnsi="Times New Roman" w:cs="Times New Roman"/>
          <w:szCs w:val="24"/>
        </w:rPr>
        <w:t>on the interview day or send them by post to the following address:</w:t>
      </w:r>
    </w:p>
    <w:p w:rsidR="002E0E36" w:rsidRPr="00155A86" w:rsidRDefault="002E0E36" w:rsidP="002E0E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</w:p>
    <w:p w:rsidR="00522635" w:rsidRPr="00155A86" w:rsidRDefault="00522635" w:rsidP="002E0E36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155A86">
        <w:rPr>
          <w:rFonts w:ascii="Times New Roman" w:eastAsia="Times New Roman" w:hAnsi="Times New Roman" w:cs="Times New Roman"/>
          <w:szCs w:val="24"/>
        </w:rPr>
        <w:t>SP</w:t>
      </w:r>
      <w:r w:rsidR="004D740E" w:rsidRPr="00155A86">
        <w:rPr>
          <w:rFonts w:ascii="Times New Roman" w:eastAsia="Times New Roman" w:hAnsi="Times New Roman" w:cs="Times New Roman"/>
          <w:szCs w:val="24"/>
        </w:rPr>
        <w:t>JES</w:t>
      </w:r>
      <w:r w:rsidRPr="00155A86">
        <w:rPr>
          <w:rFonts w:ascii="Times New Roman" w:eastAsia="Times New Roman" w:hAnsi="Times New Roman" w:cs="Times New Roman"/>
          <w:szCs w:val="24"/>
        </w:rPr>
        <w:t xml:space="preserve">, </w:t>
      </w:r>
      <w:r w:rsidR="004D740E" w:rsidRPr="00155A86">
        <w:rPr>
          <w:rFonts w:ascii="Times New Roman" w:eastAsia="Times New Roman" w:hAnsi="Times New Roman" w:cs="Times New Roman"/>
          <w:szCs w:val="24"/>
        </w:rPr>
        <w:t>Special Program in Japanese and Eurasian Studies</w:t>
      </w:r>
    </w:p>
    <w:p w:rsidR="00522635" w:rsidRPr="00155A86" w:rsidRDefault="00522635" w:rsidP="002E0E36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155A86">
        <w:rPr>
          <w:rFonts w:ascii="Times New Roman" w:eastAsia="Times New Roman" w:hAnsi="Times New Roman" w:cs="Times New Roman"/>
          <w:szCs w:val="24"/>
        </w:rPr>
        <w:t>Graduate School of Humanities and Social Sciences</w:t>
      </w:r>
    </w:p>
    <w:p w:rsidR="00522635" w:rsidRPr="00155A86" w:rsidRDefault="00522635" w:rsidP="002E0E36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155A86">
        <w:rPr>
          <w:rFonts w:ascii="Times New Roman" w:eastAsia="Times New Roman" w:hAnsi="Times New Roman" w:cs="Times New Roman"/>
          <w:szCs w:val="24"/>
        </w:rPr>
        <w:t>University of Tsukuba</w:t>
      </w:r>
    </w:p>
    <w:p w:rsidR="00522635" w:rsidRPr="00155A86" w:rsidRDefault="00522635" w:rsidP="002E0E36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155A86">
        <w:rPr>
          <w:rFonts w:ascii="Times New Roman" w:eastAsia="Times New Roman" w:hAnsi="Times New Roman" w:cs="Times New Roman"/>
          <w:szCs w:val="24"/>
        </w:rPr>
        <w:t>Tennodai 1-1-1, Tsukuba-shi, Ibaraki-ken JAPAN</w:t>
      </w:r>
    </w:p>
    <w:p w:rsidR="00522635" w:rsidRPr="00155A86" w:rsidRDefault="00522635" w:rsidP="002E0E36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155A86">
        <w:rPr>
          <w:rFonts w:ascii="Times New Roman" w:eastAsia="Times New Roman" w:hAnsi="Times New Roman" w:cs="Times New Roman"/>
          <w:szCs w:val="24"/>
        </w:rPr>
        <w:t>305-8571</w:t>
      </w:r>
    </w:p>
    <w:p w:rsidR="004D740E" w:rsidRPr="00155A86" w:rsidRDefault="004D740E" w:rsidP="002E0E36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155A86">
        <w:rPr>
          <w:rFonts w:ascii="Times New Roman" w:eastAsia="Times New Roman" w:hAnsi="Times New Roman" w:cs="Times New Roman"/>
          <w:szCs w:val="24"/>
        </w:rPr>
        <w:t>E-mail: spca-info@ml.cc.tsukuba.ac.jp</w:t>
      </w:r>
    </w:p>
    <w:p w:rsidR="002E0E36" w:rsidRPr="00155A86" w:rsidRDefault="002E0E36" w:rsidP="002E0E36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</w:p>
    <w:p w:rsidR="00AD0468" w:rsidRPr="00155A86" w:rsidRDefault="00AD0468" w:rsidP="00AD04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155A86">
        <w:rPr>
          <w:rFonts w:ascii="Times New Roman" w:eastAsia="Times New Roman" w:hAnsi="Times New Roman" w:cs="Times New Roman"/>
          <w:szCs w:val="24"/>
        </w:rPr>
        <w:t>For more information please visit the pages below:</w:t>
      </w:r>
    </w:p>
    <w:p w:rsidR="00490A92" w:rsidRDefault="00317155" w:rsidP="00AD04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Cs w:val="24"/>
        </w:rPr>
      </w:pPr>
      <w:hyperlink r:id="rId9" w:anchor="20161104" w:history="1">
        <w:r w:rsidR="004D740E" w:rsidRPr="006B5817">
          <w:rPr>
            <w:rStyle w:val="a3"/>
            <w:rFonts w:ascii="Times New Roman" w:eastAsia="Times New Roman" w:hAnsi="Times New Roman" w:cs="Times New Roman"/>
            <w:szCs w:val="24"/>
          </w:rPr>
          <w:t>http://www.chiiki.tsukuba.ac.jp/spca/news-events/news-events.html#20161104</w:t>
        </w:r>
      </w:hyperlink>
    </w:p>
    <w:p w:rsidR="004D740E" w:rsidRPr="00C352A0" w:rsidRDefault="004D740E" w:rsidP="00AD0468">
      <w:pPr>
        <w:shd w:val="clear" w:color="auto" w:fill="FFFFFF"/>
        <w:spacing w:after="0" w:line="240" w:lineRule="auto"/>
        <w:jc w:val="both"/>
        <w:rPr>
          <w:rStyle w:val="a3"/>
          <w:rFonts w:ascii="Times New Roman" w:eastAsia="Times New Roman" w:hAnsi="Times New Roman" w:cs="Times New Roman"/>
          <w:szCs w:val="24"/>
        </w:rPr>
      </w:pPr>
    </w:p>
    <w:p w:rsidR="00C352A0" w:rsidRPr="00C352A0" w:rsidRDefault="00C352A0" w:rsidP="00AD0468">
      <w:pPr>
        <w:shd w:val="clear" w:color="auto" w:fill="FFFFFF"/>
        <w:spacing w:after="0" w:line="240" w:lineRule="auto"/>
        <w:jc w:val="both"/>
        <w:rPr>
          <w:rStyle w:val="a3"/>
          <w:rFonts w:ascii="Times New Roman" w:eastAsia="Times New Roman" w:hAnsi="Times New Roman" w:cs="Times New Roman"/>
          <w:szCs w:val="24"/>
        </w:rPr>
      </w:pPr>
    </w:p>
    <w:p w:rsidR="00C352A0" w:rsidRPr="00C352A0" w:rsidRDefault="00C352A0" w:rsidP="00AD04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Cs w:val="24"/>
        </w:rPr>
      </w:pPr>
    </w:p>
    <w:p w:rsidR="00AD0468" w:rsidRPr="002E0E36" w:rsidRDefault="00AD0468" w:rsidP="00AD04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Cs w:val="24"/>
        </w:rPr>
      </w:pPr>
    </w:p>
    <w:p w:rsidR="00AD0468" w:rsidRPr="00AD0468" w:rsidRDefault="00AD0468">
      <w:pPr>
        <w:rPr>
          <w:rFonts w:ascii="Times New Roman" w:eastAsia="Times New Roman" w:hAnsi="Times New Roman" w:cs="Times New Roman"/>
          <w:color w:val="333333"/>
          <w:sz w:val="20"/>
        </w:rPr>
      </w:pPr>
    </w:p>
    <w:sectPr w:rsidR="00AD0468" w:rsidRPr="00AD0468" w:rsidSect="003171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6108" w:rsidRDefault="00FC6108" w:rsidP="00EE571A">
      <w:pPr>
        <w:spacing w:after="0" w:line="240" w:lineRule="auto"/>
      </w:pPr>
      <w:r>
        <w:separator/>
      </w:r>
    </w:p>
  </w:endnote>
  <w:endnote w:type="continuationSeparator" w:id="1">
    <w:p w:rsidR="00FC6108" w:rsidRDefault="00FC6108" w:rsidP="00EE5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6108" w:rsidRDefault="00FC6108" w:rsidP="00EE571A">
      <w:pPr>
        <w:spacing w:after="0" w:line="240" w:lineRule="auto"/>
      </w:pPr>
      <w:r>
        <w:separator/>
      </w:r>
    </w:p>
  </w:footnote>
  <w:footnote w:type="continuationSeparator" w:id="1">
    <w:p w:rsidR="00FC6108" w:rsidRDefault="00FC6108" w:rsidP="00EE571A">
      <w:pPr>
        <w:spacing w:after="0" w:line="240" w:lineRule="auto"/>
      </w:pPr>
      <w:r>
        <w:continuationSeparator/>
      </w:r>
    </w:p>
  </w:footnote>
  <w:footnote w:id="2">
    <w:p w:rsidR="00EE571A" w:rsidRPr="002E0E36" w:rsidRDefault="00EE571A" w:rsidP="002E0E36">
      <w:pPr>
        <w:pStyle w:val="a5"/>
        <w:contextualSpacing/>
        <w:rPr>
          <w:sz w:val="14"/>
          <w:szCs w:val="14"/>
        </w:rPr>
      </w:pPr>
      <w:r w:rsidRPr="002E0E36">
        <w:rPr>
          <w:sz w:val="14"/>
          <w:szCs w:val="14"/>
        </w:rPr>
        <w:t>*</w:t>
      </w:r>
      <w:r w:rsidRPr="002E0E36">
        <w:rPr>
          <w:rFonts w:ascii="Times New Roman" w:eastAsia="Times New Roman" w:hAnsi="Times New Roman" w:cs="Times New Roman"/>
          <w:color w:val="333333"/>
          <w:sz w:val="14"/>
          <w:szCs w:val="14"/>
        </w:rPr>
        <w:t>Additional requirements may apply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D7ADB"/>
    <w:multiLevelType w:val="multilevel"/>
    <w:tmpl w:val="E2686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2E5662"/>
    <w:multiLevelType w:val="hybridMultilevel"/>
    <w:tmpl w:val="854AFB5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8F1ABF"/>
    <w:multiLevelType w:val="multilevel"/>
    <w:tmpl w:val="AB382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3518BB"/>
    <w:multiLevelType w:val="hybridMultilevel"/>
    <w:tmpl w:val="0AC45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695027"/>
    <w:multiLevelType w:val="multilevel"/>
    <w:tmpl w:val="7D4E7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6173DCD"/>
    <w:multiLevelType w:val="hybridMultilevel"/>
    <w:tmpl w:val="4E5230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EB2431"/>
    <w:multiLevelType w:val="multilevel"/>
    <w:tmpl w:val="27148A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9242BCB"/>
    <w:multiLevelType w:val="multilevel"/>
    <w:tmpl w:val="A802C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9A91AB0"/>
    <w:multiLevelType w:val="hybridMultilevel"/>
    <w:tmpl w:val="F99802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6"/>
  </w:num>
  <w:num w:numId="8">
    <w:abstractNumId w:val="5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E1004"/>
    <w:rsid w:val="00037D1C"/>
    <w:rsid w:val="00080A80"/>
    <w:rsid w:val="00081B93"/>
    <w:rsid w:val="000930A5"/>
    <w:rsid w:val="000C6025"/>
    <w:rsid w:val="000E0FA4"/>
    <w:rsid w:val="000F401D"/>
    <w:rsid w:val="00111C79"/>
    <w:rsid w:val="00155A86"/>
    <w:rsid w:val="00174558"/>
    <w:rsid w:val="001B58E5"/>
    <w:rsid w:val="002C3495"/>
    <w:rsid w:val="002E0E36"/>
    <w:rsid w:val="002F3BA5"/>
    <w:rsid w:val="00317155"/>
    <w:rsid w:val="003774E6"/>
    <w:rsid w:val="003E556C"/>
    <w:rsid w:val="0042585D"/>
    <w:rsid w:val="00490A92"/>
    <w:rsid w:val="004D740E"/>
    <w:rsid w:val="00522635"/>
    <w:rsid w:val="00733111"/>
    <w:rsid w:val="00906B14"/>
    <w:rsid w:val="009C1544"/>
    <w:rsid w:val="009E08A0"/>
    <w:rsid w:val="009E1004"/>
    <w:rsid w:val="009F58C6"/>
    <w:rsid w:val="00A13903"/>
    <w:rsid w:val="00A57200"/>
    <w:rsid w:val="00AD0468"/>
    <w:rsid w:val="00C352A0"/>
    <w:rsid w:val="00C64541"/>
    <w:rsid w:val="00EE571A"/>
    <w:rsid w:val="00F1343D"/>
    <w:rsid w:val="00FC61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0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263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D0468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EE571A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EE571A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EE571A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0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263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D046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E571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E571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E571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36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ca-info@ml.cc.tsukuba.ac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hiiki.tsukuba.ac.jp/spca/news-events/news-event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D4E89-7AB4-E14F-9214-A5232B6F3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Danik</dc:creator>
  <cp:lastModifiedBy>User</cp:lastModifiedBy>
  <cp:revision>3</cp:revision>
  <dcterms:created xsi:type="dcterms:W3CDTF">2019-01-30T14:38:00Z</dcterms:created>
  <dcterms:modified xsi:type="dcterms:W3CDTF">2019-02-07T03:57:00Z</dcterms:modified>
</cp:coreProperties>
</file>